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267F6" w14:textId="6A2E9684" w:rsidR="001E2615" w:rsidRPr="00EE7659" w:rsidRDefault="001E2615" w:rsidP="00EE7659">
      <w:pPr>
        <w:jc w:val="both"/>
        <w:rPr>
          <w:rFonts w:ascii="Century Gothic" w:hAnsi="Century Gothic"/>
          <w:bCs/>
          <w:sz w:val="20"/>
          <w:szCs w:val="20"/>
        </w:rPr>
      </w:pPr>
    </w:p>
    <w:p w14:paraId="6F165AF3" w14:textId="77777777" w:rsidR="001C6F03" w:rsidRDefault="00EE7659" w:rsidP="001C6F03">
      <w:pPr>
        <w:spacing w:after="0"/>
        <w:jc w:val="right"/>
        <w:rPr>
          <w:rFonts w:ascii="Century Gothic" w:hAnsi="Century Gothic"/>
          <w:bCs/>
          <w:sz w:val="20"/>
          <w:szCs w:val="20"/>
        </w:rPr>
      </w:pPr>
      <w:r w:rsidRPr="00EE7659">
        <w:rPr>
          <w:rFonts w:ascii="Century Gothic" w:hAnsi="Century Gothic"/>
          <w:bCs/>
          <w:sz w:val="20"/>
          <w:szCs w:val="20"/>
        </w:rPr>
        <w:t xml:space="preserve">Materiał prasowy, </w:t>
      </w:r>
    </w:p>
    <w:p w14:paraId="1851452F" w14:textId="72E12090" w:rsidR="00EE7659" w:rsidRPr="00EE7659" w:rsidRDefault="00FE4751" w:rsidP="001C6F03">
      <w:pPr>
        <w:spacing w:after="0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04</w:t>
      </w:r>
      <w:r w:rsidR="00EE7659" w:rsidRPr="00EE7659">
        <w:rPr>
          <w:rFonts w:ascii="Century Gothic" w:hAnsi="Century Gothic"/>
          <w:bCs/>
          <w:sz w:val="20"/>
          <w:szCs w:val="20"/>
        </w:rPr>
        <w:t>.</w:t>
      </w:r>
      <w:r>
        <w:rPr>
          <w:rFonts w:ascii="Century Gothic" w:hAnsi="Century Gothic"/>
          <w:bCs/>
          <w:sz w:val="20"/>
          <w:szCs w:val="20"/>
        </w:rPr>
        <w:t>10</w:t>
      </w:r>
      <w:r w:rsidR="00EE7659" w:rsidRPr="00EE7659">
        <w:rPr>
          <w:rFonts w:ascii="Century Gothic" w:hAnsi="Century Gothic"/>
          <w:bCs/>
          <w:sz w:val="20"/>
          <w:szCs w:val="20"/>
        </w:rPr>
        <w:t>.2021 r.</w:t>
      </w:r>
    </w:p>
    <w:p w14:paraId="57F5BB63" w14:textId="77777777" w:rsidR="00EE7659" w:rsidRPr="00EE7659" w:rsidRDefault="00EE7659" w:rsidP="00EE7659">
      <w:pPr>
        <w:jc w:val="both"/>
        <w:rPr>
          <w:rFonts w:ascii="Century Gothic" w:hAnsi="Century Gothic"/>
          <w:b/>
          <w:bCs/>
          <w:sz w:val="44"/>
          <w:szCs w:val="44"/>
        </w:rPr>
      </w:pPr>
      <w:r w:rsidRPr="00EE7659">
        <w:rPr>
          <w:rFonts w:ascii="Century Gothic" w:hAnsi="Century Gothic"/>
          <w:b/>
          <w:bCs/>
          <w:sz w:val="44"/>
          <w:szCs w:val="44"/>
        </w:rPr>
        <w:t xml:space="preserve">Matki </w:t>
      </w:r>
      <w:proofErr w:type="spellStart"/>
      <w:r w:rsidRPr="00EE7659">
        <w:rPr>
          <w:rFonts w:ascii="Century Gothic" w:hAnsi="Century Gothic"/>
          <w:b/>
          <w:bCs/>
          <w:sz w:val="44"/>
          <w:szCs w:val="44"/>
        </w:rPr>
        <w:t>gamerki</w:t>
      </w:r>
      <w:proofErr w:type="spellEnd"/>
      <w:r w:rsidRPr="00EE7659">
        <w:rPr>
          <w:rFonts w:ascii="Century Gothic" w:hAnsi="Century Gothic"/>
          <w:b/>
          <w:bCs/>
          <w:sz w:val="44"/>
          <w:szCs w:val="44"/>
        </w:rPr>
        <w:t xml:space="preserve"> na celowniku marketerów </w:t>
      </w:r>
    </w:p>
    <w:p w14:paraId="13DF0C39" w14:textId="3A22D22E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bookmarkStart w:id="0" w:name="_Hlk83377389"/>
      <w:r w:rsidRPr="00EE7659">
        <w:rPr>
          <w:rFonts w:ascii="Century Gothic" w:hAnsi="Century Gothic"/>
          <w:b/>
          <w:bCs/>
          <w:sz w:val="20"/>
          <w:szCs w:val="20"/>
        </w:rPr>
        <w:t xml:space="preserve">Głównym decydentem, zarówno przy większych jak i mniejszych zakupach w przeciętnym domu są zazwyczaj kobiety. Jest to zatem doskonały target dla marketerów. Jak się jednak okazuje, aż 76 proc. pań uważa, że sposób w jaki kobiety są przedstawiane w reklamach kierowanych do nich jest niewłaściwy. Badanie JWT i Instytutu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Geeny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Davis „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Unpacking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Gender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Bias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in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Advertising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>” wykazało, że to mężczyźni w reklamach mówią 7 razy więcej, dostają 4 razy więcej czasu na antenie i w 62 pro</w:t>
      </w:r>
      <w:r w:rsidR="00AF3090">
        <w:rPr>
          <w:rFonts w:ascii="Century Gothic" w:hAnsi="Century Gothic"/>
          <w:b/>
          <w:bCs/>
          <w:sz w:val="20"/>
          <w:szCs w:val="20"/>
        </w:rPr>
        <w:t xml:space="preserve">c. </w:t>
      </w:r>
      <w:r w:rsidRPr="00EE7659">
        <w:rPr>
          <w:rFonts w:ascii="Century Gothic" w:hAnsi="Century Gothic"/>
          <w:b/>
          <w:bCs/>
          <w:sz w:val="20"/>
          <w:szCs w:val="20"/>
        </w:rPr>
        <w:t xml:space="preserve">to właśnie oni pokazywani są jako inteligentni. Wprawdzie dostrzega się rosnący trend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femvertisingu</w:t>
      </w:r>
      <w:proofErr w:type="spellEnd"/>
      <w:r>
        <w:rPr>
          <w:rStyle w:val="Odwoanieprzypisudolnego"/>
          <w:rFonts w:ascii="Century Gothic" w:hAnsi="Century Gothic"/>
          <w:b/>
          <w:bCs/>
          <w:sz w:val="20"/>
          <w:szCs w:val="20"/>
        </w:rPr>
        <w:footnoteReference w:id="1"/>
      </w:r>
      <w:r w:rsidRPr="00EE7659">
        <w:rPr>
          <w:rFonts w:ascii="Century Gothic" w:hAnsi="Century Gothic"/>
          <w:b/>
          <w:bCs/>
          <w:sz w:val="20"/>
          <w:szCs w:val="20"/>
        </w:rPr>
        <w:t xml:space="preserve">, jednak wciąż nie jest on stosowany w pełni świadomie i niejednokrotnie służy tylko jako trick marketingowy. Specjaliści powinni pamiętać, że mnogość ról społecznych i funkcji pełnionych przez kobiety wciąż rośnie. Wartą uwagi branżą jest mobile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gaming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>, w którym kobiety stanowią aż 52</w:t>
      </w:r>
      <w:r w:rsidR="00AF3090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EE7659">
        <w:rPr>
          <w:rFonts w:ascii="Century Gothic" w:hAnsi="Century Gothic"/>
          <w:b/>
          <w:bCs/>
          <w:sz w:val="20"/>
          <w:szCs w:val="20"/>
        </w:rPr>
        <w:t>proc</w:t>
      </w:r>
      <w:r>
        <w:rPr>
          <w:rFonts w:ascii="Century Gothic" w:hAnsi="Century Gothic"/>
          <w:b/>
          <w:bCs/>
          <w:sz w:val="20"/>
          <w:szCs w:val="20"/>
        </w:rPr>
        <w:t>.</w:t>
      </w:r>
      <w:r>
        <w:rPr>
          <w:rStyle w:val="Odwoanieprzypisudolnego"/>
          <w:rFonts w:ascii="Century Gothic" w:hAnsi="Century Gothic"/>
          <w:b/>
          <w:bCs/>
          <w:sz w:val="20"/>
          <w:szCs w:val="20"/>
        </w:rPr>
        <w:footnoteReference w:id="2"/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EE7659">
        <w:rPr>
          <w:rFonts w:ascii="Century Gothic" w:hAnsi="Century Gothic"/>
          <w:b/>
          <w:bCs/>
          <w:sz w:val="20"/>
          <w:szCs w:val="20"/>
        </w:rPr>
        <w:t>użytkowników. Zważając na to, że część z nich to matki i zdecydowana większość z nich przyznaje, że w ciągu ostatnich 6 miesięcy zrobiło zakupy online</w:t>
      </w:r>
      <w:r>
        <w:rPr>
          <w:rStyle w:val="Odwoanieprzypisudolnego"/>
          <w:rFonts w:ascii="Century Gothic" w:hAnsi="Century Gothic"/>
          <w:b/>
          <w:bCs/>
          <w:sz w:val="20"/>
          <w:szCs w:val="20"/>
        </w:rPr>
        <w:footnoteReference w:id="3"/>
      </w:r>
      <w:r w:rsidRPr="00EE7659">
        <w:rPr>
          <w:rFonts w:ascii="Century Gothic" w:hAnsi="Century Gothic"/>
          <w:b/>
          <w:bCs/>
          <w:sz w:val="20"/>
          <w:szCs w:val="20"/>
        </w:rPr>
        <w:t>, kierunek wydaje się oczywisty. To właśnie adresowanie angażujących treści w grach mobilnych do matek może stać się silnikiem napędowym dla marek, które wejdą w ten obszar</w:t>
      </w:r>
      <w:r w:rsidRPr="00EE7659">
        <w:rPr>
          <w:rFonts w:ascii="Century Gothic" w:hAnsi="Century Gothic"/>
          <w:sz w:val="20"/>
          <w:szCs w:val="20"/>
        </w:rPr>
        <w:t xml:space="preserve">.  </w:t>
      </w:r>
    </w:p>
    <w:bookmarkEnd w:id="0"/>
    <w:p w14:paraId="6EE494DC" w14:textId="77777777" w:rsidR="00EE7659" w:rsidRPr="00EE7659" w:rsidRDefault="00EE7659" w:rsidP="00EE765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EE7659">
        <w:rPr>
          <w:rFonts w:ascii="Century Gothic" w:hAnsi="Century Gothic"/>
          <w:b/>
          <w:bCs/>
          <w:sz w:val="20"/>
          <w:szCs w:val="20"/>
        </w:rPr>
        <w:t>Matka - konsumentka a decyzje zakupowe</w:t>
      </w:r>
    </w:p>
    <w:p w14:paraId="522FB7ED" w14:textId="07FA7604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Wystarczy spojrzeć na statystyki, żeby zdać sobie sprawę, jaką fundamentalną rolę odgrywają kobiety w kontekście decyzji handlowych. Raport </w:t>
      </w:r>
      <w:proofErr w:type="spellStart"/>
      <w:r w:rsidRPr="00EE7659">
        <w:rPr>
          <w:rFonts w:ascii="Century Gothic" w:hAnsi="Century Gothic"/>
          <w:sz w:val="20"/>
          <w:szCs w:val="20"/>
        </w:rPr>
        <w:t>Gemius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E-commerce w Polsce 2020 podaje, że 51 proc. kupujących w sieci stanowią kobiety. Według badań IQS i </w:t>
      </w:r>
      <w:proofErr w:type="spellStart"/>
      <w:r w:rsidRPr="00EE7659">
        <w:rPr>
          <w:rFonts w:ascii="Century Gothic" w:hAnsi="Century Gothic"/>
          <w:sz w:val="20"/>
          <w:szCs w:val="20"/>
        </w:rPr>
        <w:t>Ringier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Axel Springer sprzed pandemii aż 96 proc</w:t>
      </w:r>
      <w:r>
        <w:rPr>
          <w:rFonts w:ascii="Century Gothic" w:hAnsi="Century Gothic"/>
          <w:sz w:val="20"/>
          <w:szCs w:val="20"/>
        </w:rPr>
        <w:t>.</w:t>
      </w:r>
      <w:r w:rsidRPr="00EE7659">
        <w:rPr>
          <w:rFonts w:ascii="Century Gothic" w:hAnsi="Century Gothic"/>
          <w:sz w:val="20"/>
          <w:szCs w:val="20"/>
        </w:rPr>
        <w:t xml:space="preserve"> Polek chociaż raz w roku kupuje w sieci. 61 proc. robi zakupy online przynajmniej raz w miesiącu. </w:t>
      </w:r>
      <w:bookmarkStart w:id="1" w:name="_Hlk83377443"/>
      <w:r w:rsidRPr="00EE7659">
        <w:rPr>
          <w:rFonts w:ascii="Century Gothic" w:hAnsi="Century Gothic"/>
          <w:sz w:val="20"/>
          <w:szCs w:val="20"/>
        </w:rPr>
        <w:t xml:space="preserve">Jak podaje raport „Mobile </w:t>
      </w:r>
      <w:proofErr w:type="spellStart"/>
      <w:r w:rsidRPr="00EE7659">
        <w:rPr>
          <w:rFonts w:ascii="Century Gothic" w:hAnsi="Century Gothic"/>
          <w:sz w:val="20"/>
          <w:szCs w:val="20"/>
        </w:rPr>
        <w:t>Gamers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E7659">
        <w:rPr>
          <w:rFonts w:ascii="Century Gothic" w:hAnsi="Century Gothic"/>
          <w:sz w:val="20"/>
          <w:szCs w:val="20"/>
        </w:rPr>
        <w:t>Mothers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” stworzony przez </w:t>
      </w:r>
      <w:proofErr w:type="spellStart"/>
      <w:r w:rsidRPr="00EE7659">
        <w:rPr>
          <w:rFonts w:ascii="Century Gothic" w:hAnsi="Century Gothic"/>
          <w:sz w:val="20"/>
          <w:szCs w:val="20"/>
        </w:rPr>
        <w:t>A</w:t>
      </w:r>
      <w:r w:rsidR="00AF3090">
        <w:rPr>
          <w:rFonts w:ascii="Century Gothic" w:hAnsi="Century Gothic"/>
          <w:sz w:val="20"/>
          <w:szCs w:val="20"/>
        </w:rPr>
        <w:t>d</w:t>
      </w:r>
      <w:r w:rsidRPr="00EE7659">
        <w:rPr>
          <w:rFonts w:ascii="Century Gothic" w:hAnsi="Century Gothic"/>
          <w:sz w:val="20"/>
          <w:szCs w:val="20"/>
        </w:rPr>
        <w:t>Colony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i G</w:t>
      </w:r>
      <w:r w:rsidR="007D3226">
        <w:rPr>
          <w:rFonts w:ascii="Century Gothic" w:hAnsi="Century Gothic"/>
          <w:sz w:val="20"/>
          <w:szCs w:val="20"/>
        </w:rPr>
        <w:t xml:space="preserve">WI dla </w:t>
      </w:r>
      <w:proofErr w:type="spellStart"/>
      <w:r w:rsidR="007D3226">
        <w:rPr>
          <w:rFonts w:ascii="Century Gothic" w:hAnsi="Century Gothic"/>
          <w:sz w:val="20"/>
          <w:szCs w:val="20"/>
        </w:rPr>
        <w:t>Mobiem</w:t>
      </w:r>
      <w:proofErr w:type="spellEnd"/>
      <w:r w:rsidR="007D3226">
        <w:rPr>
          <w:rFonts w:ascii="Century Gothic" w:hAnsi="Century Gothic"/>
          <w:sz w:val="20"/>
          <w:szCs w:val="20"/>
        </w:rPr>
        <w:t xml:space="preserve"> Polska</w:t>
      </w:r>
      <w:r w:rsidRPr="00EE7659">
        <w:rPr>
          <w:rFonts w:ascii="Century Gothic" w:hAnsi="Century Gothic"/>
          <w:sz w:val="20"/>
          <w:szCs w:val="20"/>
        </w:rPr>
        <w:t>, 53,5 proc. matek jest głównym decydentem w kwestii większych zakupów domowych i blisko 80 proc. z nich jest również jedynym decydentem przy drobnych zakupach. 86 proc</w:t>
      </w:r>
      <w:r>
        <w:rPr>
          <w:rFonts w:ascii="Century Gothic" w:hAnsi="Century Gothic"/>
          <w:sz w:val="20"/>
          <w:szCs w:val="20"/>
        </w:rPr>
        <w:t>.</w:t>
      </w:r>
      <w:r w:rsidRPr="00EE7659">
        <w:rPr>
          <w:rFonts w:ascii="Century Gothic" w:hAnsi="Century Gothic"/>
          <w:sz w:val="20"/>
          <w:szCs w:val="20"/>
        </w:rPr>
        <w:t xml:space="preserve"> mam przyznało, że w ciągu ostatnich 6 miesięcy zrobiło zakupy online, a w ciągu nadchodzących 6 miesięcy taki plan ma blisko 40 proc. z nich. Co więcej, 41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 xml:space="preserve">proc. matek woli zakupy w aplikacjach niż w sieci, ponieważ część z nich uważa, że jest to wygodniejsze. </w:t>
      </w:r>
    </w:p>
    <w:bookmarkEnd w:id="1"/>
    <w:p w14:paraId="74B4C9B3" w14:textId="01462A7C" w:rsidR="00EE7659" w:rsidRDefault="00EE7659" w:rsidP="00EE765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- </w:t>
      </w:r>
      <w:r w:rsidRPr="00EE7659">
        <w:rPr>
          <w:rFonts w:ascii="Century Gothic" w:hAnsi="Century Gothic"/>
          <w:i/>
          <w:iCs/>
          <w:sz w:val="20"/>
          <w:szCs w:val="20"/>
        </w:rPr>
        <w:t>Panie wykazują się większą otwartością na nowości rynkowe</w:t>
      </w:r>
      <w:r w:rsidR="00FE76C2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EE7659">
        <w:rPr>
          <w:rFonts w:ascii="Century Gothic" w:hAnsi="Century Gothic"/>
          <w:i/>
          <w:iCs/>
          <w:sz w:val="20"/>
          <w:szCs w:val="20"/>
        </w:rPr>
        <w:t>niezależnie od kategorii produktowej. Zaopatrują dom w artykuły spożywcze, chemię, środki czystości. Sięgają po odzież, kosmetyki, książki i płyty, produkty farmaceutyczne, artykuły dziecięce, meble i elementy wystroju wnętrz oraz biżuterię</w:t>
      </w:r>
      <w:r w:rsidR="00FE76C2">
        <w:rPr>
          <w:rStyle w:val="Odwoanieprzypisudolnego"/>
          <w:rFonts w:ascii="Century Gothic" w:hAnsi="Century Gothic"/>
          <w:i/>
          <w:iCs/>
          <w:sz w:val="20"/>
          <w:szCs w:val="20"/>
        </w:rPr>
        <w:footnoteReference w:id="4"/>
      </w:r>
      <w:r w:rsidRPr="00EE7659">
        <w:rPr>
          <w:rFonts w:ascii="Century Gothic" w:hAnsi="Century Gothic"/>
          <w:i/>
          <w:iCs/>
          <w:sz w:val="20"/>
          <w:szCs w:val="20"/>
        </w:rPr>
        <w:t>.</w:t>
      </w:r>
      <w:r w:rsidR="00FE76C2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EE7659">
        <w:rPr>
          <w:rFonts w:ascii="Century Gothic" w:hAnsi="Century Gothic"/>
          <w:i/>
          <w:iCs/>
          <w:sz w:val="20"/>
          <w:szCs w:val="20"/>
        </w:rPr>
        <w:t>Co więcej, finalizują coraz częściej transakcje dot. artykułów typowo męskich</w:t>
      </w:r>
      <w:r w:rsidR="00FE76C2">
        <w:rPr>
          <w:rStyle w:val="Odwoanieprzypisudolnego"/>
          <w:rFonts w:ascii="Century Gothic" w:hAnsi="Century Gothic"/>
          <w:i/>
          <w:iCs/>
          <w:sz w:val="20"/>
          <w:szCs w:val="20"/>
        </w:rPr>
        <w:footnoteReference w:id="5"/>
      </w:r>
      <w:r w:rsidRPr="00EE7659">
        <w:rPr>
          <w:rFonts w:ascii="Century Gothic" w:hAnsi="Century Gothic"/>
          <w:i/>
          <w:iCs/>
          <w:sz w:val="20"/>
          <w:szCs w:val="20"/>
        </w:rPr>
        <w:t xml:space="preserve">. A wszystko to robią znacznie chętniej online używając do tego urządzeń mobilnych. Jak podaje raport E-commerce 2020 od </w:t>
      </w:r>
      <w:proofErr w:type="spellStart"/>
      <w:r w:rsidRPr="00EE7659">
        <w:rPr>
          <w:rFonts w:ascii="Century Gothic" w:hAnsi="Century Gothic"/>
          <w:i/>
          <w:iCs/>
          <w:sz w:val="20"/>
          <w:szCs w:val="20"/>
        </w:rPr>
        <w:t>Gemius</w:t>
      </w:r>
      <w:proofErr w:type="spellEnd"/>
      <w:r w:rsidRPr="00EE7659">
        <w:rPr>
          <w:rFonts w:ascii="Century Gothic" w:hAnsi="Century Gothic"/>
          <w:i/>
          <w:iCs/>
          <w:sz w:val="20"/>
          <w:szCs w:val="20"/>
        </w:rPr>
        <w:t xml:space="preserve">, wśród czynników </w:t>
      </w:r>
      <w:r w:rsidRPr="00EE7659">
        <w:rPr>
          <w:rFonts w:ascii="Century Gothic" w:hAnsi="Century Gothic"/>
          <w:i/>
          <w:iCs/>
          <w:sz w:val="20"/>
          <w:szCs w:val="20"/>
        </w:rPr>
        <w:lastRenderedPageBreak/>
        <w:t>motywujących kobiety do nabywania produktów przez Intern</w:t>
      </w:r>
      <w:r w:rsidR="00FE76C2">
        <w:rPr>
          <w:rFonts w:ascii="Century Gothic" w:hAnsi="Century Gothic"/>
          <w:i/>
          <w:iCs/>
          <w:sz w:val="20"/>
          <w:szCs w:val="20"/>
        </w:rPr>
        <w:t>e</w:t>
      </w:r>
      <w:r w:rsidRPr="00EE7659">
        <w:rPr>
          <w:rFonts w:ascii="Century Gothic" w:hAnsi="Century Gothic"/>
          <w:i/>
          <w:iCs/>
          <w:sz w:val="20"/>
          <w:szCs w:val="20"/>
        </w:rPr>
        <w:t>t są najczęściej: szybkość, zniżki dla stałych klientów, możliwość zbierania punktów za zakup oraz spersonalizowane promocje</w:t>
      </w:r>
      <w:r w:rsidRPr="00EE7659">
        <w:rPr>
          <w:rFonts w:ascii="Century Gothic" w:hAnsi="Century Gothic"/>
          <w:sz w:val="20"/>
          <w:szCs w:val="20"/>
        </w:rPr>
        <w:t xml:space="preserve"> – </w:t>
      </w:r>
      <w:r w:rsidRPr="00EE7659">
        <w:rPr>
          <w:rFonts w:ascii="Century Gothic" w:hAnsi="Century Gothic"/>
          <w:b/>
          <w:bCs/>
          <w:sz w:val="20"/>
          <w:szCs w:val="20"/>
        </w:rPr>
        <w:t xml:space="preserve">mówi Michał Giera, </w:t>
      </w: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Mobiem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Polska.</w:t>
      </w:r>
    </w:p>
    <w:p w14:paraId="697F50E9" w14:textId="77777777" w:rsidR="00EE7659" w:rsidRPr="00EE7659" w:rsidRDefault="00EE7659" w:rsidP="00EE765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EE7659">
        <w:rPr>
          <w:rFonts w:ascii="Century Gothic" w:hAnsi="Century Gothic"/>
          <w:b/>
          <w:bCs/>
          <w:sz w:val="20"/>
          <w:szCs w:val="20"/>
        </w:rPr>
        <w:t>Mamy grają w gry nawet kilka razy dziennie</w:t>
      </w:r>
    </w:p>
    <w:p w14:paraId="544FE15F" w14:textId="64B69F9D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>W Polsce aż 52 proc. użytkowników gier mobilnych to kobiety</w:t>
      </w:r>
      <w:r w:rsidR="00FE76C2">
        <w:rPr>
          <w:rStyle w:val="Odwoanieprzypisudolnego"/>
          <w:rFonts w:ascii="Century Gothic" w:hAnsi="Century Gothic"/>
          <w:sz w:val="20"/>
          <w:szCs w:val="20"/>
        </w:rPr>
        <w:footnoteReference w:id="6"/>
      </w:r>
      <w:r w:rsidRPr="00EE7659">
        <w:rPr>
          <w:rFonts w:ascii="Century Gothic" w:hAnsi="Century Gothic"/>
          <w:sz w:val="20"/>
          <w:szCs w:val="20"/>
        </w:rPr>
        <w:t xml:space="preserve">. Gry stanowią rozrywkę dla mam bez względu na ich wiek. Najwięcej </w:t>
      </w:r>
      <w:proofErr w:type="spellStart"/>
      <w:r w:rsidRPr="00EE7659">
        <w:rPr>
          <w:rFonts w:ascii="Century Gothic" w:hAnsi="Century Gothic"/>
          <w:sz w:val="20"/>
          <w:szCs w:val="20"/>
        </w:rPr>
        <w:t>gamerek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wśród mam znajdujemy w przedziale wiekowym powyżej 25 roku życia (w sumie jest to aż 96,8 proc.)</w:t>
      </w:r>
      <w:r w:rsidR="00FE76C2">
        <w:rPr>
          <w:rStyle w:val="Odwoanieprzypisudolnego"/>
          <w:rFonts w:ascii="Century Gothic" w:hAnsi="Century Gothic"/>
          <w:sz w:val="20"/>
          <w:szCs w:val="20"/>
        </w:rPr>
        <w:footnoteReference w:id="7"/>
      </w:r>
      <w:r w:rsidRPr="00EE7659">
        <w:rPr>
          <w:rFonts w:ascii="Century Gothic" w:hAnsi="Century Gothic"/>
          <w:sz w:val="20"/>
          <w:szCs w:val="20"/>
        </w:rPr>
        <w:t xml:space="preserve">. Zaskakująco dużo grających mam spotykamy w grupie powyżej 45 roku życia, jest to ponad 1/3 badanych. Niewiele mniej mam </w:t>
      </w:r>
      <w:proofErr w:type="spellStart"/>
      <w:r w:rsidRPr="00EE7659">
        <w:rPr>
          <w:rFonts w:ascii="Century Gothic" w:hAnsi="Century Gothic"/>
          <w:sz w:val="20"/>
          <w:szCs w:val="20"/>
        </w:rPr>
        <w:t>gamerek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znajdujemy w grupie wiekowej 25-34 lat. Dużą grupę 28,5 proc. stanowią również panie między 35 a 44 rokiem życia. Najczęściej posiadają od 1 do 2 dzieci w wieku od 0 do 11 lat. Znaczna część mam </w:t>
      </w:r>
      <w:proofErr w:type="spellStart"/>
      <w:r w:rsidRPr="00EE7659">
        <w:rPr>
          <w:rFonts w:ascii="Century Gothic" w:hAnsi="Century Gothic"/>
          <w:sz w:val="20"/>
          <w:szCs w:val="20"/>
        </w:rPr>
        <w:t>gamerek</w:t>
      </w:r>
      <w:proofErr w:type="spellEnd"/>
      <w:r w:rsidRPr="00EE7659">
        <w:rPr>
          <w:rFonts w:ascii="Century Gothic" w:hAnsi="Century Gothic"/>
          <w:sz w:val="20"/>
          <w:szCs w:val="20"/>
        </w:rPr>
        <w:t>, bo aż 83,3 proc., gra w gry na smartfonach. Ponad 30 proc. z nich sięga po grę nawet kilka razy dziennie. Najczęściej poświęcają tej formie rozrywki między pół godziny do godziny i między godziną a dwoma. Jedna sesja gry zajmuje mamom zwykle od 10 do 30 minut.</w:t>
      </w:r>
    </w:p>
    <w:p w14:paraId="1785D47A" w14:textId="77777777" w:rsidR="00EE7659" w:rsidRPr="00EE7659" w:rsidRDefault="00EE7659" w:rsidP="00EE765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EE7659">
        <w:rPr>
          <w:rFonts w:ascii="Century Gothic" w:hAnsi="Century Gothic"/>
          <w:b/>
          <w:bCs/>
          <w:sz w:val="20"/>
          <w:szCs w:val="20"/>
        </w:rPr>
        <w:t xml:space="preserve">W co mamy grają na smartfonach? </w:t>
      </w:r>
    </w:p>
    <w:p w14:paraId="0435136E" w14:textId="77777777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W rzeczywistości pełnej obowiązków związanych z wychowywaniem dzieci, blisko połowa mam znajduje również odskocznię w grach, traktując je jako formę relaksacji czy sposób na poprawę nastroju. Jedna trzecia ankietowanych mam grywa, żeby zapełnić czas pomiędzy zaplanowanymi czynnościami. </w:t>
      </w:r>
    </w:p>
    <w:p w14:paraId="033724E7" w14:textId="77777777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- </w:t>
      </w:r>
      <w:r w:rsidRPr="00EE7659">
        <w:rPr>
          <w:rFonts w:ascii="Century Gothic" w:hAnsi="Century Gothic"/>
          <w:i/>
          <w:iCs/>
          <w:sz w:val="20"/>
          <w:szCs w:val="20"/>
        </w:rPr>
        <w:t>Gry na telefon to świetna opcja dla świeżo upieczonych mam. To bardzo mobilna forma „odskoczni” od obowiązków, a gdy ma się dziecko, jest się na nogach niemal cały czas. Gry na smartfonie sprawdzały się u mnie szczególnie podczas karmienia, które w pierwszych miesiącach życia dziecka potrafiło zajmować jednorazowo po kilka godzin. Najbardziej lubiłam te przygodowe i edukacyjne, bez dwóch zdań działały na mnie odprężająco i zapewniały sporą dawkę endorfin</w:t>
      </w:r>
      <w:r w:rsidRPr="00EE7659">
        <w:rPr>
          <w:rFonts w:ascii="Century Gothic" w:hAnsi="Century Gothic"/>
          <w:sz w:val="20"/>
          <w:szCs w:val="20"/>
        </w:rPr>
        <w:t xml:space="preserve"> –</w:t>
      </w:r>
      <w:r w:rsidRPr="00EE7659">
        <w:rPr>
          <w:rFonts w:ascii="Century Gothic" w:hAnsi="Century Gothic"/>
          <w:b/>
          <w:bCs/>
          <w:sz w:val="20"/>
          <w:szCs w:val="20"/>
        </w:rPr>
        <w:t xml:space="preserve"> mówi Weronika Seweryn.</w:t>
      </w:r>
    </w:p>
    <w:p w14:paraId="44563024" w14:textId="55B8F046" w:rsid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>To właśnie mobilność gier i możliwość krótkich rozgrywek są ich największymi zaletami. Mamy zwykle grają podczas przerw, np. na lunch, podczas oglądania telewizji, podczas czekania na coś lub na kogoś i w czasie podróży.</w:t>
      </w:r>
    </w:p>
    <w:p w14:paraId="3BDCC49F" w14:textId="77777777" w:rsidR="00EE7659" w:rsidRPr="00EE7659" w:rsidRDefault="00EE7659" w:rsidP="00EE7659">
      <w:pPr>
        <w:jc w:val="both"/>
        <w:rPr>
          <w:rFonts w:ascii="Century Gothic" w:hAnsi="Century Gothic"/>
          <w:b/>
          <w:bCs/>
          <w:sz w:val="20"/>
          <w:szCs w:val="20"/>
        </w:rPr>
      </w:pPr>
      <w:proofErr w:type="spellStart"/>
      <w:r w:rsidRPr="00EE7659">
        <w:rPr>
          <w:rFonts w:ascii="Century Gothic" w:hAnsi="Century Gothic"/>
          <w:b/>
          <w:bCs/>
          <w:sz w:val="20"/>
          <w:szCs w:val="20"/>
        </w:rPr>
        <w:t>Tetris</w:t>
      </w:r>
      <w:proofErr w:type="spellEnd"/>
      <w:r w:rsidRPr="00EE7659">
        <w:rPr>
          <w:rFonts w:ascii="Century Gothic" w:hAnsi="Century Gothic"/>
          <w:b/>
          <w:bCs/>
          <w:sz w:val="20"/>
          <w:szCs w:val="20"/>
        </w:rPr>
        <w:t xml:space="preserve"> jako terapia?</w:t>
      </w:r>
    </w:p>
    <w:p w14:paraId="32E688EB" w14:textId="234B35D1" w:rsid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Niektóre mamy grywają w łóżku przed snem, a jak zauważa </w:t>
      </w:r>
      <w:proofErr w:type="spellStart"/>
      <w:r w:rsidRPr="00EE7659">
        <w:rPr>
          <w:rFonts w:ascii="Century Gothic" w:hAnsi="Century Gothic"/>
          <w:sz w:val="20"/>
          <w:szCs w:val="20"/>
        </w:rPr>
        <w:t>Jane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E7659">
        <w:rPr>
          <w:rFonts w:ascii="Century Gothic" w:hAnsi="Century Gothic"/>
          <w:sz w:val="20"/>
          <w:szCs w:val="20"/>
        </w:rPr>
        <w:t>McGonigal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, naukowiec z </w:t>
      </w:r>
      <w:proofErr w:type="spellStart"/>
      <w:r w:rsidRPr="00EE7659">
        <w:rPr>
          <w:rFonts w:ascii="Century Gothic" w:hAnsi="Century Gothic"/>
          <w:sz w:val="20"/>
          <w:szCs w:val="20"/>
        </w:rPr>
        <w:t>Institute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for the </w:t>
      </w:r>
      <w:proofErr w:type="spellStart"/>
      <w:r w:rsidRPr="00EE7659">
        <w:rPr>
          <w:rFonts w:ascii="Century Gothic" w:hAnsi="Century Gothic"/>
          <w:sz w:val="20"/>
          <w:szCs w:val="20"/>
        </w:rPr>
        <w:t>Future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oraz projektantka gier, która opowiada się za wykorzystaniem technologii mobilnych do utrwalania pozytywnych postaw, cytowana w książce Tima </w:t>
      </w:r>
      <w:proofErr w:type="spellStart"/>
      <w:r w:rsidRPr="00EE7659">
        <w:rPr>
          <w:rFonts w:ascii="Century Gothic" w:hAnsi="Century Gothic"/>
          <w:sz w:val="20"/>
          <w:szCs w:val="20"/>
        </w:rPr>
        <w:t>Ferrissa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„Narzędzia tytanów” - gry takie jak </w:t>
      </w:r>
      <w:proofErr w:type="spellStart"/>
      <w:r w:rsidRPr="00EE7659">
        <w:rPr>
          <w:rFonts w:ascii="Century Gothic" w:hAnsi="Century Gothic"/>
          <w:sz w:val="20"/>
          <w:szCs w:val="20"/>
        </w:rPr>
        <w:t>Tetris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, Candy </w:t>
      </w:r>
      <w:proofErr w:type="spellStart"/>
      <w:r w:rsidRPr="00EE7659">
        <w:rPr>
          <w:rFonts w:ascii="Century Gothic" w:hAnsi="Century Gothic"/>
          <w:sz w:val="20"/>
          <w:szCs w:val="20"/>
        </w:rPr>
        <w:t>Crush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Saga lub </w:t>
      </w:r>
      <w:proofErr w:type="spellStart"/>
      <w:r w:rsidRPr="00EE7659">
        <w:rPr>
          <w:rFonts w:ascii="Century Gothic" w:hAnsi="Century Gothic"/>
          <w:sz w:val="20"/>
          <w:szCs w:val="20"/>
        </w:rPr>
        <w:t>Bejeweld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mogą działać na nas terapeutycznie, niwelować objawy stresu pourazowego i pomagać zasnąć. Jak się okazuje, mamy wybierają właśnie przede wszystkim łamigłówki, gry słowne, strategie, </w:t>
      </w:r>
      <w:proofErr w:type="spellStart"/>
      <w:r w:rsidRPr="00EE7659">
        <w:rPr>
          <w:rFonts w:ascii="Century Gothic" w:hAnsi="Century Gothic"/>
          <w:sz w:val="20"/>
          <w:szCs w:val="20"/>
        </w:rPr>
        <w:t>karcianki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i gry przygodowe.</w:t>
      </w:r>
    </w:p>
    <w:p w14:paraId="5EACCF36" w14:textId="0F5D2052" w:rsidR="00EE7659" w:rsidRPr="00EE7659" w:rsidRDefault="00FE76C2" w:rsidP="00344AE3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  <w:r w:rsidR="00EE7659" w:rsidRPr="00EE7659">
        <w:rPr>
          <w:rFonts w:ascii="Century Gothic" w:hAnsi="Century Gothic"/>
          <w:b/>
          <w:bCs/>
          <w:sz w:val="20"/>
          <w:szCs w:val="20"/>
        </w:rPr>
        <w:lastRenderedPageBreak/>
        <w:t xml:space="preserve">Jak reklamy w mobile </w:t>
      </w:r>
      <w:proofErr w:type="spellStart"/>
      <w:r w:rsidR="00EE7659" w:rsidRPr="00EE7659">
        <w:rPr>
          <w:rFonts w:ascii="Century Gothic" w:hAnsi="Century Gothic"/>
          <w:b/>
          <w:bCs/>
          <w:sz w:val="20"/>
          <w:szCs w:val="20"/>
        </w:rPr>
        <w:t>gamingu</w:t>
      </w:r>
      <w:proofErr w:type="spellEnd"/>
      <w:r w:rsidR="00EE7659" w:rsidRPr="00EE7659">
        <w:rPr>
          <w:rFonts w:ascii="Century Gothic" w:hAnsi="Century Gothic"/>
          <w:b/>
          <w:bCs/>
          <w:sz w:val="20"/>
          <w:szCs w:val="20"/>
        </w:rPr>
        <w:t xml:space="preserve"> działają na mamy?</w:t>
      </w:r>
    </w:p>
    <w:p w14:paraId="2696226F" w14:textId="5E10BF8E" w:rsidR="00EE7659" w:rsidRP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 xml:space="preserve">Zgodnie z raportem </w:t>
      </w:r>
      <w:proofErr w:type="spellStart"/>
      <w:r w:rsidRPr="00EE7659">
        <w:rPr>
          <w:rFonts w:ascii="Century Gothic" w:hAnsi="Century Gothic"/>
          <w:sz w:val="20"/>
          <w:szCs w:val="20"/>
        </w:rPr>
        <w:t>AdColony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„Mobile </w:t>
      </w:r>
      <w:proofErr w:type="spellStart"/>
      <w:r w:rsidRPr="00EE7659">
        <w:rPr>
          <w:rFonts w:ascii="Century Gothic" w:hAnsi="Century Gothic"/>
          <w:sz w:val="20"/>
          <w:szCs w:val="20"/>
        </w:rPr>
        <w:t>Gamers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E7659">
        <w:rPr>
          <w:rFonts w:ascii="Century Gothic" w:hAnsi="Century Gothic"/>
          <w:sz w:val="20"/>
          <w:szCs w:val="20"/>
        </w:rPr>
        <w:t>Mothers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” po obejrzeniu reklamy na smartfonie mamy </w:t>
      </w:r>
      <w:proofErr w:type="spellStart"/>
      <w:r w:rsidRPr="00EE7659">
        <w:rPr>
          <w:rFonts w:ascii="Century Gothic" w:hAnsi="Century Gothic"/>
          <w:sz w:val="20"/>
          <w:szCs w:val="20"/>
        </w:rPr>
        <w:t>gamerki</w:t>
      </w:r>
      <w:proofErr w:type="spellEnd"/>
      <w:r w:rsidRPr="00EE7659">
        <w:rPr>
          <w:rFonts w:ascii="Century Gothic" w:hAnsi="Century Gothic"/>
          <w:sz w:val="20"/>
          <w:szCs w:val="20"/>
        </w:rPr>
        <w:t xml:space="preserve"> często czytają recenzje produktu (42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proc.), wyszukują produkt w wyszukiwarkach internetowych (38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proc.) i odwiedzają stronę marki (37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proc.). Co trzecia badana po obejrzeniu reklamy nierzadko w nią klika lub też opowiada znajomym o reklamowanym produkcie (26</w:t>
      </w:r>
      <w:r w:rsidR="00AF3090"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proc.).</w:t>
      </w:r>
    </w:p>
    <w:p w14:paraId="175C53F7" w14:textId="5AE0EAA8" w:rsidR="00EE7659" w:rsidRDefault="00EE7659" w:rsidP="00EE7659">
      <w:pPr>
        <w:jc w:val="both"/>
        <w:rPr>
          <w:rFonts w:ascii="Century Gothic" w:hAnsi="Century Gothic"/>
          <w:sz w:val="20"/>
          <w:szCs w:val="20"/>
        </w:rPr>
      </w:pPr>
      <w:r w:rsidRPr="00EE7659">
        <w:rPr>
          <w:rFonts w:ascii="Century Gothic" w:hAnsi="Century Gothic"/>
          <w:sz w:val="20"/>
          <w:szCs w:val="20"/>
        </w:rPr>
        <w:t>A co zwiększyłoby intencje zakupowe mam zaraz po obejrzeniu reklamy na smartfonie? Blisko 45 proc. respondentek twierdzi, że chętniej kupiłoby produkt, który byłby dla nich istotny. Prawie 34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 matek kupiłoby produkt bezpośrednio poprzez reklamę mobilną, jeżeli byłby on w promocji. Natomiast, dla 33</w:t>
      </w:r>
      <w:r>
        <w:rPr>
          <w:rFonts w:ascii="Century Gothic" w:hAnsi="Century Gothic"/>
          <w:sz w:val="20"/>
          <w:szCs w:val="20"/>
        </w:rPr>
        <w:t xml:space="preserve"> </w:t>
      </w:r>
      <w:r w:rsidRPr="00EE7659">
        <w:rPr>
          <w:rFonts w:ascii="Century Gothic" w:hAnsi="Century Gothic"/>
          <w:sz w:val="20"/>
          <w:szCs w:val="20"/>
        </w:rPr>
        <w:t>proc. mam ważne jest również, żeby reklama była odpowiednio angażująca.</w:t>
      </w:r>
    </w:p>
    <w:p w14:paraId="1E413663" w14:textId="6104F7FD" w:rsidR="00EE7659" w:rsidRPr="003A5168" w:rsidRDefault="00EE7659" w:rsidP="00EE7659">
      <w:pPr>
        <w:jc w:val="both"/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- </w:t>
      </w:r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W Polsce kobiety stanowią 52</w:t>
      </w:r>
      <w:r w:rsidR="00FE76C2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 proc.</w:t>
      </w:r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 społeczności wśród </w:t>
      </w:r>
      <w:proofErr w:type="spellStart"/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moblie</w:t>
      </w:r>
      <w:proofErr w:type="spellEnd"/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gamerów</w:t>
      </w:r>
      <w:proofErr w:type="spellEnd"/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. W Europie blisko 7 na 10 użytkowników gier mobilnych to panie. Część z nich to mamy.</w:t>
      </w:r>
      <w:r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 Warto więc, by </w:t>
      </w:r>
      <w:proofErr w:type="spellStart"/>
      <w:r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marketerzy</w:t>
      </w:r>
      <w:proofErr w:type="spellEnd"/>
      <w:r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 xml:space="preserve"> dobrze przyjrzeli się tej grupie potencjalnych odbiorców. </w:t>
      </w:r>
      <w:r w:rsidRPr="00882C11"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Co trzecia matka wymaga od reklamy, by ta była odpowiednio angażująca. Wierzymy, że przy odpowiedniej strategii i interaktywnych, absorbujących formatach, brandy są w stanie zyskać zainteresowanie tej rosnącej społeczno</w:t>
      </w:r>
      <w:r>
        <w:rPr>
          <w:rFonts w:ascii="Century Gothic" w:hAnsi="Century Gothic" w:cstheme="minorHAnsi"/>
          <w:i/>
          <w:iCs/>
          <w:color w:val="000000" w:themeColor="text1"/>
          <w:sz w:val="20"/>
          <w:szCs w:val="20"/>
        </w:rPr>
        <w:t>ści i przewagę nad konkurencją</w:t>
      </w:r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-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wyjaśnia Michał Giera</w:t>
      </w:r>
      <w:r w:rsidRPr="00882C1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proofErr w:type="spellStart"/>
      <w:r w:rsidRPr="00882C11">
        <w:rPr>
          <w:rFonts w:ascii="Century Gothic" w:hAnsi="Century Gothic"/>
          <w:b/>
          <w:bCs/>
          <w:color w:val="000000" w:themeColor="text1"/>
          <w:sz w:val="20"/>
          <w:szCs w:val="20"/>
        </w:rPr>
        <w:t>Mobiem</w:t>
      </w:r>
      <w:proofErr w:type="spellEnd"/>
      <w:r w:rsidRPr="00882C1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Polska.</w:t>
      </w:r>
    </w:p>
    <w:p w14:paraId="6D4A6614" w14:textId="77777777" w:rsidR="00EE7659" w:rsidRPr="003A5168" w:rsidRDefault="00EE7659" w:rsidP="00EE7659">
      <w:pPr>
        <w:pStyle w:val="Podtytu"/>
        <w:spacing w:line="276" w:lineRule="auto"/>
        <w:rPr>
          <w:rFonts w:ascii="Century Gothic" w:hAnsi="Century Gothic"/>
          <w:b/>
          <w:bCs/>
          <w:color w:val="auto"/>
          <w:spacing w:val="0"/>
          <w:sz w:val="20"/>
          <w:szCs w:val="20"/>
        </w:rPr>
      </w:pPr>
      <w:r w:rsidRPr="00882C11">
        <w:rPr>
          <w:rFonts w:ascii="Century Gothic" w:hAnsi="Century Gothic"/>
          <w:b/>
          <w:bCs/>
          <w:color w:val="000000" w:themeColor="text1"/>
          <w:spacing w:val="0"/>
          <w:sz w:val="20"/>
          <w:szCs w:val="20"/>
        </w:rPr>
        <w:t xml:space="preserve">Reklamy mobilne – najlepsze </w:t>
      </w:r>
      <w:r w:rsidRPr="003A5168">
        <w:rPr>
          <w:rFonts w:ascii="Century Gothic" w:hAnsi="Century Gothic"/>
          <w:b/>
          <w:bCs/>
          <w:color w:val="auto"/>
          <w:spacing w:val="0"/>
          <w:sz w:val="20"/>
          <w:szCs w:val="20"/>
        </w:rPr>
        <w:t>angażujące kreacje</w:t>
      </w:r>
    </w:p>
    <w:p w14:paraId="5A3AF8C9" w14:textId="77777777" w:rsidR="00EE7659" w:rsidRPr="003A5168" w:rsidRDefault="00EE7659" w:rsidP="00EE7659">
      <w:pPr>
        <w:jc w:val="both"/>
        <w:rPr>
          <w:rStyle w:val="Wyrnieniedelikatne"/>
          <w:rFonts w:ascii="Century Gothic" w:hAnsi="Century Gothic"/>
          <w:i w:val="0"/>
          <w:iCs w:val="0"/>
          <w:sz w:val="20"/>
          <w:szCs w:val="20"/>
        </w:rPr>
      </w:pPr>
      <w:r w:rsidRPr="003A5168">
        <w:rPr>
          <w:rFonts w:ascii="Century Gothic" w:hAnsi="Century Gothic"/>
          <w:sz w:val="20"/>
          <w:szCs w:val="20"/>
        </w:rPr>
        <w:t xml:space="preserve">Mobile </w:t>
      </w:r>
      <w:proofErr w:type="spellStart"/>
      <w:r w:rsidRPr="003A5168">
        <w:rPr>
          <w:rFonts w:ascii="Century Gothic" w:hAnsi="Century Gothic"/>
          <w:sz w:val="20"/>
          <w:szCs w:val="20"/>
        </w:rPr>
        <w:t>advertising</w:t>
      </w:r>
      <w:proofErr w:type="spellEnd"/>
      <w:r w:rsidRPr="003A5168">
        <w:rPr>
          <w:rFonts w:ascii="Century Gothic" w:hAnsi="Century Gothic"/>
          <w:sz w:val="20"/>
          <w:szCs w:val="20"/>
        </w:rPr>
        <w:t xml:space="preserve"> w grach uzyskuje wysoką akceptowalność przez użytkowników, ponieważ pozwala im często cieszyć się dodatkowymi bonusami podczas sesji. Widoczność reklam sięga nawet 99 proc. Gdy dodamy do tego interesujące, interaktywne i angażujące kreacje, obserwujemy nie lada sukcesy. </w:t>
      </w:r>
      <w:r w:rsidRPr="003A5168">
        <w:rPr>
          <w:rFonts w:ascii="Century Gothic" w:hAnsi="Century Gothic" w:cstheme="minorHAnsi"/>
          <w:sz w:val="20"/>
          <w:szCs w:val="20"/>
        </w:rPr>
        <w:t>Poniżej przedstawiamy kilka ciekawych reklam:</w:t>
      </w:r>
    </w:p>
    <w:p w14:paraId="282F62EA" w14:textId="0FE74BA7" w:rsidR="00FE76C2" w:rsidRDefault="00FE76C2" w:rsidP="00FE76C2">
      <w:pPr>
        <w:pStyle w:val="Legenda"/>
        <w:keepNext/>
        <w:jc w:val="center"/>
      </w:pPr>
      <w:r>
        <w:t xml:space="preserve">Rysunek </w:t>
      </w:r>
      <w:r w:rsidR="00D3330C">
        <w:fldChar w:fldCharType="begin"/>
      </w:r>
      <w:r w:rsidR="00D3330C">
        <w:instrText xml:space="preserve"> SEQ Rysunek \* ARABIC </w:instrText>
      </w:r>
      <w:r w:rsidR="00D3330C">
        <w:fldChar w:fldCharType="separate"/>
      </w:r>
      <w:r w:rsidR="00AF3090">
        <w:rPr>
          <w:noProof/>
        </w:rPr>
        <w:t>1</w:t>
      </w:r>
      <w:r w:rsidR="00D3330C">
        <w:rPr>
          <w:noProof/>
        </w:rPr>
        <w:fldChar w:fldCharType="end"/>
      </w:r>
      <w:r>
        <w:t xml:space="preserve">: </w:t>
      </w:r>
      <w:r w:rsidRPr="00E710CE">
        <w:t xml:space="preserve">Kaszka </w:t>
      </w:r>
      <w:proofErr w:type="spellStart"/>
      <w:r w:rsidRPr="00E710CE">
        <w:t>Nestlé</w:t>
      </w:r>
      <w:proofErr w:type="spellEnd"/>
      <w:r w:rsidRPr="00E710CE">
        <w:t xml:space="preserve"> Kids MENA – skuteczna reklama mobilna</w:t>
      </w:r>
    </w:p>
    <w:p w14:paraId="019723B3" w14:textId="36F848C8" w:rsidR="00EE7659" w:rsidRDefault="00EE7659" w:rsidP="00EE7659">
      <w:pPr>
        <w:jc w:val="center"/>
        <w:rPr>
          <w:rFonts w:ascii="Century Gothic" w:hAnsi="Century Gothic"/>
          <w:sz w:val="20"/>
          <w:szCs w:val="20"/>
        </w:rPr>
      </w:pPr>
      <w:r w:rsidRPr="00882C11">
        <w:rPr>
          <w:rFonts w:ascii="Century Gothic" w:hAnsi="Century Gothic" w:cstheme="minorHAns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33A2BF98" wp14:editId="059D045D">
            <wp:extent cx="3650566" cy="1758461"/>
            <wp:effectExtent l="0" t="0" r="0" b="0"/>
            <wp:docPr id="1199" name="Nestle__Ceralac KSA (EN)__Aurora__MENA___Post Sale (1).mp4" descr="Nestle__Ceralac KSA (EN)__Aurora__MENA___Post Sale (1).mp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Nestle__Ceralac KSA (EN)__Aurora__MENA___Post Sale (1).mp4" descr="Nestle__Ceralac KSA (EN)__Aurora__MENA___Post Sale (1).mp4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6488" cy="176131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637F7092" w14:textId="77777777" w:rsidR="00EE7659" w:rsidRPr="00882C11" w:rsidRDefault="00EE7659" w:rsidP="00EE7659">
      <w:pPr>
        <w:jc w:val="both"/>
        <w:rPr>
          <w:rFonts w:ascii="Century Gothic" w:hAnsi="Century Gothic" w:cstheme="minorHAnsi"/>
          <w:color w:val="000000" w:themeColor="text1"/>
          <w:sz w:val="20"/>
          <w:szCs w:val="20"/>
        </w:rPr>
      </w:pPr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Głównym celem kampanii było pokazanie mamom w jaki sposób kaszka </w:t>
      </w:r>
      <w:proofErr w:type="spellStart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Cerealc</w:t>
      </w:r>
      <w:proofErr w:type="spellEnd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pomaga dzieciom rozwijać smaki podczas odstawiania mleka matki. Przy użyciu technologii Aurora™ HD Video, uzyskano ponad 545 tysięcy wyświetleń reklamy przy 96 proc. wskaźniku unikalnych, pełnych wyświetleń. Co więcej, dzięki kreatywnym, interaktywnym opcjom w reklamie, publiczność wykazała niebagatelny wynik zaangażowania, który wyniósł 217,75 proc. Grupa, do której dotarła reklama mogła w nią klikać, oraz przytrzymywać i przeciągać poszczególne elementy, dzięki czemu w angażujący sposób poznawała skład produktu. </w:t>
      </w:r>
    </w:p>
    <w:p w14:paraId="4688E394" w14:textId="454A39D7" w:rsidR="00FE76C2" w:rsidRDefault="00FE76C2" w:rsidP="00FE76C2">
      <w:pPr>
        <w:pStyle w:val="Legenda"/>
        <w:keepNext/>
        <w:jc w:val="center"/>
      </w:pPr>
      <w:r>
        <w:lastRenderedPageBreak/>
        <w:t xml:space="preserve">Rysunek </w:t>
      </w:r>
      <w:r w:rsidR="00D3330C">
        <w:fldChar w:fldCharType="begin"/>
      </w:r>
      <w:r w:rsidR="00D3330C">
        <w:instrText xml:space="preserve"> SEQ Rysunek \* ARABIC </w:instrText>
      </w:r>
      <w:r w:rsidR="00D3330C">
        <w:fldChar w:fldCharType="separate"/>
      </w:r>
      <w:r w:rsidR="00AF3090">
        <w:rPr>
          <w:noProof/>
        </w:rPr>
        <w:t>2</w:t>
      </w:r>
      <w:r w:rsidR="00D3330C">
        <w:rPr>
          <w:noProof/>
        </w:rPr>
        <w:fldChar w:fldCharType="end"/>
      </w:r>
      <w:r>
        <w:t xml:space="preserve">: </w:t>
      </w:r>
      <w:proofErr w:type="spellStart"/>
      <w:r w:rsidRPr="002F7D4B">
        <w:t>Dettol</w:t>
      </w:r>
      <w:proofErr w:type="spellEnd"/>
      <w:r w:rsidRPr="002F7D4B">
        <w:t xml:space="preserve"> Covid-19 – edukacja w mobile marketingu</w:t>
      </w:r>
    </w:p>
    <w:p w14:paraId="6E0CE54A" w14:textId="5EC92A45" w:rsidR="00EE7659" w:rsidRDefault="00EE7659" w:rsidP="00EE7659">
      <w:pPr>
        <w:jc w:val="center"/>
        <w:rPr>
          <w:rFonts w:ascii="Century Gothic" w:hAnsi="Century Gothic"/>
          <w:sz w:val="20"/>
          <w:szCs w:val="20"/>
        </w:rPr>
      </w:pPr>
      <w:r w:rsidRPr="00882C11">
        <w:rPr>
          <w:rFonts w:ascii="Century Gothic" w:hAnsi="Century Gothic" w:cstheme="minorHAnsi"/>
          <w:b/>
          <w:bCs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4133AED3" wp14:editId="406ADDBB">
            <wp:extent cx="4215765" cy="2162288"/>
            <wp:effectExtent l="0" t="0" r="0" b="9525"/>
            <wp:docPr id="4" name="Obraz 4" descr="Obraz zawierający tekst, monitor, iPod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monitor, iPod, sprzęt elektroniczn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2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1559" w14:textId="1318588C" w:rsidR="00EE7659" w:rsidRDefault="00EE7659" w:rsidP="00EE7659">
      <w:pPr>
        <w:jc w:val="both"/>
        <w:rPr>
          <w:rFonts w:ascii="Century Gothic" w:hAnsi="Century Gothic" w:cstheme="minorHAnsi"/>
          <w:color w:val="000000" w:themeColor="text1"/>
          <w:sz w:val="20"/>
          <w:szCs w:val="20"/>
        </w:rPr>
      </w:pPr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Kampania marketingowo-edukacyjna, która miała na celu przeciwdziałanie szerzeniu dezinformacji w RPA w związku z COVID-19. Reklama zakładała walkę z koronawirusowymi mitami. Użyto w niej interaktywnej opcji „</w:t>
      </w:r>
      <w:proofErr w:type="spellStart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Wipe</w:t>
      </w:r>
      <w:proofErr w:type="spellEnd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Away</w:t>
      </w:r>
      <w:proofErr w:type="spellEnd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” („Zetrzyj”), dzięki której odbiorcy czyścili swój pozornie brudny wyświetlacz z zarazków za pomocą mydła </w:t>
      </w:r>
      <w:proofErr w:type="spellStart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Dettol</w:t>
      </w:r>
      <w:proofErr w:type="spellEnd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. Następnie, oglądający reklamę mogli zagrać w quiz, który dementował fałszywe informacje, jak na przykład to, że dzieci nie mogą zarazić się koronawirusem. Reklama wyświetlona została 234 tysiące razy uzyskując 92 proc. pełnych </w:t>
      </w:r>
      <w:proofErr w:type="spellStart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>odtworzeń</w:t>
      </w:r>
      <w:proofErr w:type="spellEnd"/>
      <w:r w:rsidRPr="00882C11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i 22,1-procentowy wskaźnik zaangażowania. </w:t>
      </w:r>
    </w:p>
    <w:p w14:paraId="2809B339" w14:textId="6CE9CFE4" w:rsidR="00EE7659" w:rsidRPr="00EE7659" w:rsidRDefault="00EE7659" w:rsidP="00EE7659">
      <w:pPr>
        <w:jc w:val="both"/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</w:pPr>
      <w:r w:rsidRPr="00EE7659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>Więcej informacji:</w:t>
      </w:r>
    </w:p>
    <w:p w14:paraId="60D94A3F" w14:textId="50DE1C70" w:rsidR="00EE7659" w:rsidRDefault="00EE7659" w:rsidP="00EE7659">
      <w:pPr>
        <w:spacing w:after="0"/>
        <w:jc w:val="both"/>
        <w:rPr>
          <w:rFonts w:ascii="Century Gothic" w:hAnsi="Century Gothic" w:cstheme="minorHAnsi"/>
          <w:color w:val="000000" w:themeColor="text1"/>
          <w:sz w:val="20"/>
          <w:szCs w:val="20"/>
        </w:rPr>
      </w:pPr>
      <w:r>
        <w:rPr>
          <w:rFonts w:ascii="Century Gothic" w:hAnsi="Century Gothic" w:cstheme="minorHAnsi"/>
          <w:color w:val="000000" w:themeColor="text1"/>
          <w:sz w:val="20"/>
          <w:szCs w:val="20"/>
        </w:rPr>
        <w:t>Pamela Tomicka</w:t>
      </w:r>
    </w:p>
    <w:p w14:paraId="29EE06B1" w14:textId="77777777" w:rsidR="00EE7659" w:rsidRDefault="00EE7659" w:rsidP="00EE7659">
      <w:pPr>
        <w:spacing w:after="0"/>
        <w:jc w:val="both"/>
        <w:rPr>
          <w:rFonts w:ascii="Century Gothic" w:hAnsi="Century Gothic"/>
          <w:sz w:val="20"/>
          <w:szCs w:val="20"/>
          <w:lang w:eastAsia="pl-PL"/>
        </w:rPr>
      </w:pPr>
      <w:r>
        <w:rPr>
          <w:rFonts w:ascii="Century Gothic" w:hAnsi="Century Gothic"/>
          <w:color w:val="000000"/>
          <w:sz w:val="20"/>
          <w:szCs w:val="20"/>
          <w:lang w:val="en-GB" w:eastAsia="pl-PL"/>
        </w:rPr>
        <w:t xml:space="preserve">+48 601 918 306 </w:t>
      </w:r>
    </w:p>
    <w:p w14:paraId="73F5DB1D" w14:textId="6C8FBF2F" w:rsidR="00EE7659" w:rsidRPr="00882C11" w:rsidRDefault="00D3330C" w:rsidP="00EE7659">
      <w:pPr>
        <w:spacing w:after="0"/>
        <w:jc w:val="both"/>
        <w:rPr>
          <w:rFonts w:ascii="Century Gothic" w:hAnsi="Century Gothic" w:cstheme="minorHAnsi"/>
          <w:color w:val="000000" w:themeColor="text1"/>
          <w:sz w:val="20"/>
          <w:szCs w:val="20"/>
        </w:rPr>
      </w:pPr>
      <w:hyperlink r:id="rId9" w:history="1">
        <w:r w:rsidR="00EE7659">
          <w:rPr>
            <w:rStyle w:val="Hipercze"/>
            <w:rFonts w:ascii="Century Gothic" w:hAnsi="Century Gothic"/>
            <w:sz w:val="20"/>
            <w:szCs w:val="20"/>
            <w:lang w:eastAsia="pl-PL"/>
          </w:rPr>
          <w:t>p.tomicka@lightscape.pl</w:t>
        </w:r>
      </w:hyperlink>
    </w:p>
    <w:p w14:paraId="66678303" w14:textId="77777777" w:rsidR="00EE7659" w:rsidRDefault="00EE7659" w:rsidP="00EE7659">
      <w:pPr>
        <w:jc w:val="center"/>
        <w:rPr>
          <w:rFonts w:ascii="Century Gothic" w:hAnsi="Century Gothic"/>
          <w:sz w:val="20"/>
          <w:szCs w:val="20"/>
        </w:rPr>
      </w:pPr>
    </w:p>
    <w:sectPr w:rsidR="00EE765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2EB7A" w14:textId="77777777" w:rsidR="00D3330C" w:rsidRDefault="00D3330C" w:rsidP="00DA7E7B">
      <w:pPr>
        <w:spacing w:after="0" w:line="240" w:lineRule="auto"/>
      </w:pPr>
      <w:r>
        <w:separator/>
      </w:r>
    </w:p>
  </w:endnote>
  <w:endnote w:type="continuationSeparator" w:id="0">
    <w:p w14:paraId="2A48A6F8" w14:textId="77777777" w:rsidR="00D3330C" w:rsidRDefault="00D3330C" w:rsidP="00DA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limbachItcT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9E0A" w14:textId="77777777" w:rsidR="00DA7E7B" w:rsidRPr="00DA7E7B" w:rsidRDefault="00DA7E7B" w:rsidP="00DA7E7B">
    <w:pPr>
      <w:shd w:val="clear" w:color="auto" w:fill="FFFFFF"/>
      <w:spacing w:after="0" w:line="240" w:lineRule="auto"/>
      <w:rPr>
        <w:rFonts w:ascii="Cambria" w:hAnsi="Cambria"/>
        <w:b/>
        <w:color w:val="000000"/>
        <w:sz w:val="24"/>
        <w:szCs w:val="24"/>
        <w:lang w:eastAsia="pl-PL"/>
      </w:rPr>
    </w:pPr>
    <w:r w:rsidRPr="00DA7E7B">
      <w:rPr>
        <w:rFonts w:ascii="Cambria" w:hAnsi="Cambria"/>
        <w:b/>
        <w:color w:val="000000"/>
        <w:sz w:val="24"/>
        <w:szCs w:val="24"/>
        <w:lang w:eastAsia="pl-PL"/>
      </w:rPr>
      <w:t>MOBIEM POLSKA Sp. z o.o. sp.k.</w:t>
    </w:r>
  </w:p>
  <w:p w14:paraId="0FDAD2F5" w14:textId="77777777" w:rsidR="00DA7E7B" w:rsidRDefault="00DA7E7B" w:rsidP="00DA7E7B">
    <w:pPr>
      <w:shd w:val="clear" w:color="auto" w:fill="FFFFFF"/>
      <w:spacing w:after="0" w:line="240" w:lineRule="auto"/>
      <w:rPr>
        <w:rFonts w:ascii="Cambria" w:hAnsi="Cambria"/>
        <w:color w:val="000000"/>
        <w:sz w:val="24"/>
        <w:szCs w:val="24"/>
        <w:lang w:eastAsia="pl-PL"/>
      </w:rPr>
    </w:pPr>
  </w:p>
  <w:p w14:paraId="58DBB501" w14:textId="77777777" w:rsidR="00DA7E7B" w:rsidRPr="00DA7E7B" w:rsidRDefault="00DA7E7B" w:rsidP="00DA7E7B">
    <w:pPr>
      <w:shd w:val="clear" w:color="auto" w:fill="FFFFFF"/>
      <w:spacing w:after="0" w:line="240" w:lineRule="auto"/>
      <w:rPr>
        <w:rFonts w:ascii="Cambria" w:hAnsi="Cambria"/>
        <w:color w:val="000000"/>
        <w:sz w:val="20"/>
        <w:szCs w:val="24"/>
        <w:lang w:eastAsia="pl-PL"/>
      </w:rPr>
    </w:pPr>
    <w:r w:rsidRPr="00DA7E7B">
      <w:rPr>
        <w:rFonts w:ascii="Cambria" w:hAnsi="Cambria"/>
        <w:color w:val="000000"/>
        <w:sz w:val="20"/>
        <w:szCs w:val="24"/>
        <w:lang w:eastAsia="pl-PL"/>
      </w:rPr>
      <w:t xml:space="preserve">ul. Fabryczna 5a,  00-446 Warszawa, </w:t>
    </w:r>
    <w:r w:rsidRPr="00DA7E7B">
      <w:rPr>
        <w:rFonts w:ascii="Cambria" w:eastAsia="Times New Roman" w:hAnsi="Cambria"/>
        <w:color w:val="000000"/>
        <w:sz w:val="20"/>
        <w:szCs w:val="24"/>
        <w:lang w:eastAsia="pl-PL"/>
      </w:rPr>
      <w:t>NIP: 524-274-39-60</w:t>
    </w:r>
    <w:r>
      <w:rPr>
        <w:rFonts w:ascii="Cambria" w:eastAsia="Times New Roman" w:hAnsi="Cambria"/>
        <w:color w:val="000000"/>
        <w:sz w:val="20"/>
        <w:szCs w:val="24"/>
        <w:lang w:eastAsia="pl-PL"/>
      </w:rPr>
      <w:tab/>
    </w:r>
    <w:r>
      <w:rPr>
        <w:rFonts w:ascii="Cambria" w:eastAsia="Times New Roman" w:hAnsi="Cambria"/>
        <w:color w:val="000000"/>
        <w:sz w:val="20"/>
        <w:szCs w:val="24"/>
        <w:lang w:eastAsia="pl-PL"/>
      </w:rPr>
      <w:tab/>
    </w:r>
    <w:r>
      <w:rPr>
        <w:rFonts w:ascii="Cambria" w:eastAsia="Times New Roman" w:hAnsi="Cambria"/>
        <w:color w:val="000000"/>
        <w:sz w:val="20"/>
        <w:szCs w:val="24"/>
        <w:lang w:eastAsia="pl-PL"/>
      </w:rPr>
      <w:tab/>
      <w:t xml:space="preserve">         </w:t>
    </w:r>
    <w:r w:rsidRPr="00DA7E7B">
      <w:rPr>
        <w:rFonts w:ascii="Cambria" w:eastAsia="Times New Roman" w:hAnsi="Cambria"/>
        <w:color w:val="000000"/>
        <w:sz w:val="20"/>
        <w:szCs w:val="24"/>
        <w:lang w:eastAsia="pl-PL"/>
      </w:rPr>
      <w:t xml:space="preserve">telefon: </w:t>
    </w:r>
    <w:r w:rsidRPr="00DA7E7B">
      <w:rPr>
        <w:rFonts w:ascii="Cambria" w:hAnsi="Cambria"/>
        <w:color w:val="000000"/>
        <w:sz w:val="20"/>
        <w:szCs w:val="24"/>
        <w:lang w:eastAsia="pl-PL"/>
      </w:rPr>
      <w:t>+48 22 595 16 13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D317C" w14:textId="77777777" w:rsidR="00D3330C" w:rsidRDefault="00D3330C" w:rsidP="00DA7E7B">
      <w:pPr>
        <w:spacing w:after="0" w:line="240" w:lineRule="auto"/>
      </w:pPr>
      <w:r>
        <w:separator/>
      </w:r>
    </w:p>
  </w:footnote>
  <w:footnote w:type="continuationSeparator" w:id="0">
    <w:p w14:paraId="5F12E4A2" w14:textId="77777777" w:rsidR="00D3330C" w:rsidRDefault="00D3330C" w:rsidP="00DA7E7B">
      <w:pPr>
        <w:spacing w:after="0" w:line="240" w:lineRule="auto"/>
      </w:pPr>
      <w:r>
        <w:continuationSeparator/>
      </w:r>
    </w:p>
  </w:footnote>
  <w:footnote w:id="1">
    <w:p w14:paraId="20024E9F" w14:textId="6DDF4BF0" w:rsidR="00EE7659" w:rsidRDefault="00EE765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>Badanie</w:t>
      </w:r>
      <w:proofErr w:type="spellEnd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 xml:space="preserve"> JWT </w:t>
      </w:r>
      <w:proofErr w:type="spellStart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>i</w:t>
      </w:r>
      <w:proofErr w:type="spellEnd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 xml:space="preserve"> </w:t>
      </w:r>
      <w:proofErr w:type="spellStart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>Instytutu</w:t>
      </w:r>
      <w:proofErr w:type="spellEnd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 xml:space="preserve"> </w:t>
      </w:r>
      <w:proofErr w:type="spellStart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>Geeny</w:t>
      </w:r>
      <w:proofErr w:type="spellEnd"/>
      <w:r w:rsidRPr="00D77ACB">
        <w:rPr>
          <w:rFonts w:cstheme="minorHAnsi"/>
          <w:bCs/>
          <w:color w:val="000000" w:themeColor="text1"/>
          <w:sz w:val="18"/>
          <w:szCs w:val="16"/>
          <w:lang w:val="en-US"/>
        </w:rPr>
        <w:t xml:space="preserve"> Davis „Unpacking Gender Bias in Advertising</w:t>
      </w:r>
    </w:p>
  </w:footnote>
  <w:footnote w:id="2">
    <w:p w14:paraId="1AB0477A" w14:textId="548C3E22" w:rsidR="00EE7659" w:rsidRPr="00EE7659" w:rsidRDefault="00EE7659">
      <w:pPr>
        <w:pStyle w:val="Tekstprzypisudolnego"/>
        <w:rPr>
          <w:rFonts w:cstheme="minorHAnsi"/>
          <w:sz w:val="18"/>
          <w:szCs w:val="16"/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BE708F">
          <w:rPr>
            <w:rStyle w:val="Hipercze"/>
            <w:rFonts w:cstheme="minorHAnsi"/>
            <w:sz w:val="18"/>
            <w:szCs w:val="16"/>
            <w:lang w:val="en-US"/>
          </w:rPr>
          <w:t>https://polishgamers.com/pgr/polish-gamers-research-2020/characteristics-of-pc-console-mobile-browser-social-platforms-gamers/characteristics-of-mobile-gamers/</w:t>
        </w:r>
      </w:hyperlink>
    </w:p>
  </w:footnote>
  <w:footnote w:id="3">
    <w:p w14:paraId="18C1ACB9" w14:textId="0B4FB65C" w:rsidR="00EE7659" w:rsidRPr="00FE76C2" w:rsidRDefault="00EE7659" w:rsidP="00FE76C2">
      <w:pPr>
        <w:pStyle w:val="Tekstprzypisukocowego"/>
        <w:rPr>
          <w:rFonts w:cstheme="minorHAnsi"/>
          <w:sz w:val="18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882C11">
        <w:rPr>
          <w:rFonts w:cstheme="minorHAnsi"/>
          <w:sz w:val="18"/>
          <w:szCs w:val="16"/>
          <w:lang w:val="en-US"/>
        </w:rPr>
        <w:t>Raport</w:t>
      </w:r>
      <w:proofErr w:type="spellEnd"/>
      <w:r w:rsidRPr="00882C11">
        <w:rPr>
          <w:rFonts w:cstheme="minorHAnsi"/>
          <w:sz w:val="18"/>
          <w:szCs w:val="16"/>
          <w:lang w:val="en-US"/>
        </w:rPr>
        <w:t xml:space="preserve"> </w:t>
      </w:r>
      <w:proofErr w:type="spellStart"/>
      <w:r w:rsidRPr="00882C11">
        <w:rPr>
          <w:rFonts w:cstheme="minorHAnsi"/>
          <w:sz w:val="18"/>
          <w:szCs w:val="16"/>
          <w:lang w:val="en-US"/>
        </w:rPr>
        <w:t>AdColony</w:t>
      </w:r>
      <w:proofErr w:type="spellEnd"/>
      <w:r w:rsidRPr="00882C11">
        <w:rPr>
          <w:rFonts w:cstheme="minorHAnsi"/>
          <w:sz w:val="18"/>
          <w:szCs w:val="16"/>
          <w:lang w:val="en-US"/>
        </w:rPr>
        <w:t xml:space="preserve"> „Mobile Gamers Mothers. </w:t>
      </w:r>
      <w:r w:rsidRPr="00D77ACB">
        <w:rPr>
          <w:rFonts w:cstheme="minorHAnsi"/>
          <w:sz w:val="18"/>
          <w:szCs w:val="16"/>
        </w:rPr>
        <w:t>EMEA”</w:t>
      </w:r>
    </w:p>
  </w:footnote>
  <w:footnote w:id="4">
    <w:p w14:paraId="2CF1BF0A" w14:textId="3EA88DCF" w:rsidR="00FE76C2" w:rsidRDefault="00FE76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882C11">
        <w:rPr>
          <w:rFonts w:cstheme="minorHAnsi"/>
          <w:sz w:val="18"/>
          <w:szCs w:val="16"/>
        </w:rPr>
        <w:t>Forebs</w:t>
      </w:r>
      <w:proofErr w:type="spellEnd"/>
      <w:r w:rsidRPr="00882C11">
        <w:rPr>
          <w:rFonts w:cstheme="minorHAnsi"/>
          <w:sz w:val="18"/>
          <w:szCs w:val="16"/>
        </w:rPr>
        <w:t xml:space="preserve"> – Kobiety podejmują nawet 80 proc. decyzji zakupowych</w:t>
      </w:r>
    </w:p>
  </w:footnote>
  <w:footnote w:id="5">
    <w:p w14:paraId="4CF06C59" w14:textId="77777777" w:rsidR="00FE76C2" w:rsidRPr="00882C11" w:rsidRDefault="00FE76C2" w:rsidP="00FE76C2">
      <w:pPr>
        <w:pStyle w:val="Tekstprzypisukocowego"/>
        <w:rPr>
          <w:rFonts w:cstheme="minorHAnsi"/>
          <w:sz w:val="18"/>
          <w:szCs w:val="16"/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 w:rsidRPr="00882C11">
        <w:rPr>
          <w:rFonts w:cstheme="minorHAnsi"/>
          <w:sz w:val="18"/>
          <w:szCs w:val="16"/>
          <w:lang w:val="en-US"/>
        </w:rPr>
        <w:t xml:space="preserve">Women are more likely to buy unknown brands than men: The effects of gender and known versus unknown brands on purchase intentions” Malgorzata </w:t>
      </w:r>
      <w:proofErr w:type="spellStart"/>
      <w:r w:rsidRPr="00882C11">
        <w:rPr>
          <w:rFonts w:cstheme="minorHAnsi"/>
          <w:sz w:val="18"/>
          <w:szCs w:val="16"/>
          <w:lang w:val="en-US"/>
        </w:rPr>
        <w:t>Karpinska</w:t>
      </w:r>
      <w:proofErr w:type="spellEnd"/>
      <w:r w:rsidRPr="00882C11">
        <w:rPr>
          <w:rFonts w:cstheme="minorHAnsi"/>
          <w:sz w:val="18"/>
          <w:szCs w:val="16"/>
          <w:lang w:val="en-US"/>
        </w:rPr>
        <w:t>-Krakowiak</w:t>
      </w:r>
    </w:p>
    <w:p w14:paraId="6BBE2E10" w14:textId="3E7975B0" w:rsidR="00FE76C2" w:rsidRDefault="00FE76C2">
      <w:pPr>
        <w:pStyle w:val="Tekstprzypisudolnego"/>
      </w:pPr>
    </w:p>
  </w:footnote>
  <w:footnote w:id="6">
    <w:p w14:paraId="510E75CA" w14:textId="1A4105E8" w:rsidR="00FE76C2" w:rsidRDefault="00FE76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2D691F" w:rsidRPr="00BC454C">
          <w:rPr>
            <w:rStyle w:val="Hipercze"/>
            <w:sz w:val="18"/>
            <w:szCs w:val="18"/>
            <w:lang w:val="en-US"/>
          </w:rPr>
          <w:t>https://polishgamers.com/pgr/polish-gamers-research-2020/characteristics-of-pc-console-mobile-browser-social-platforms-gamers/characteristics-of-mobile-gamers/</w:t>
        </w:r>
      </w:hyperlink>
      <w:r w:rsidR="002D691F">
        <w:rPr>
          <w:sz w:val="18"/>
          <w:szCs w:val="18"/>
          <w:lang w:val="en-US"/>
        </w:rPr>
        <w:t xml:space="preserve"> </w:t>
      </w:r>
    </w:p>
  </w:footnote>
  <w:footnote w:id="7">
    <w:p w14:paraId="0D58BB38" w14:textId="77777777" w:rsidR="00FE76C2" w:rsidRPr="00882C11" w:rsidRDefault="00FE76C2" w:rsidP="00FE76C2">
      <w:pPr>
        <w:pStyle w:val="Tekstprzypisukocowego"/>
        <w:rPr>
          <w:sz w:val="18"/>
          <w:szCs w:val="18"/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882C11">
        <w:rPr>
          <w:sz w:val="18"/>
          <w:szCs w:val="18"/>
          <w:lang w:val="en-US"/>
        </w:rPr>
        <w:t>Raport</w:t>
      </w:r>
      <w:proofErr w:type="spellEnd"/>
      <w:r w:rsidRPr="00882C11">
        <w:rPr>
          <w:sz w:val="18"/>
          <w:szCs w:val="18"/>
          <w:lang w:val="en-US"/>
        </w:rPr>
        <w:t xml:space="preserve"> </w:t>
      </w:r>
      <w:proofErr w:type="spellStart"/>
      <w:r w:rsidRPr="00882C11">
        <w:rPr>
          <w:sz w:val="18"/>
          <w:szCs w:val="18"/>
          <w:lang w:val="en-US"/>
        </w:rPr>
        <w:t>AdColony</w:t>
      </w:r>
      <w:proofErr w:type="spellEnd"/>
      <w:r w:rsidRPr="00882C11">
        <w:rPr>
          <w:sz w:val="18"/>
          <w:szCs w:val="18"/>
          <w:lang w:val="en-US"/>
        </w:rPr>
        <w:t xml:space="preserve"> „Mobile Gamers Mothers. EMEA”</w:t>
      </w:r>
    </w:p>
    <w:p w14:paraId="4D16400C" w14:textId="20130B51" w:rsidR="00FE76C2" w:rsidRDefault="00FE76C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2786" w14:textId="77777777" w:rsidR="00DA7E7B" w:rsidRDefault="00DA7E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3EF0B6C" wp14:editId="149607B4">
          <wp:simplePos x="0" y="0"/>
          <wp:positionH relativeFrom="column">
            <wp:posOffset>-599440</wp:posOffset>
          </wp:positionH>
          <wp:positionV relativeFrom="paragraph">
            <wp:posOffset>-13970</wp:posOffset>
          </wp:positionV>
          <wp:extent cx="2406015" cy="10674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015" cy="1067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7B"/>
    <w:rsid w:val="00073846"/>
    <w:rsid w:val="000A6D3D"/>
    <w:rsid w:val="001015C4"/>
    <w:rsid w:val="0014101D"/>
    <w:rsid w:val="001C6F03"/>
    <w:rsid w:val="001E2615"/>
    <w:rsid w:val="0021062F"/>
    <w:rsid w:val="00211879"/>
    <w:rsid w:val="002650FF"/>
    <w:rsid w:val="002820CA"/>
    <w:rsid w:val="002C16C7"/>
    <w:rsid w:val="002C40F1"/>
    <w:rsid w:val="002D691F"/>
    <w:rsid w:val="00326FB0"/>
    <w:rsid w:val="00327CC2"/>
    <w:rsid w:val="00344AE3"/>
    <w:rsid w:val="00352264"/>
    <w:rsid w:val="003B1275"/>
    <w:rsid w:val="003B6A94"/>
    <w:rsid w:val="003C29B3"/>
    <w:rsid w:val="0046226B"/>
    <w:rsid w:val="00480D74"/>
    <w:rsid w:val="004A346C"/>
    <w:rsid w:val="004B6AFB"/>
    <w:rsid w:val="004C2F62"/>
    <w:rsid w:val="005537FE"/>
    <w:rsid w:val="006633F5"/>
    <w:rsid w:val="00677901"/>
    <w:rsid w:val="0069594F"/>
    <w:rsid w:val="0069699A"/>
    <w:rsid w:val="006C3260"/>
    <w:rsid w:val="00704B40"/>
    <w:rsid w:val="0073391E"/>
    <w:rsid w:val="00746DD5"/>
    <w:rsid w:val="007D3226"/>
    <w:rsid w:val="008C1428"/>
    <w:rsid w:val="009027FB"/>
    <w:rsid w:val="00941482"/>
    <w:rsid w:val="009B4E95"/>
    <w:rsid w:val="009B680A"/>
    <w:rsid w:val="009F3AAF"/>
    <w:rsid w:val="00A96109"/>
    <w:rsid w:val="00AA52DF"/>
    <w:rsid w:val="00AF2FF1"/>
    <w:rsid w:val="00AF3090"/>
    <w:rsid w:val="00B2209F"/>
    <w:rsid w:val="00BA6649"/>
    <w:rsid w:val="00BD2A5C"/>
    <w:rsid w:val="00C20F38"/>
    <w:rsid w:val="00C404B0"/>
    <w:rsid w:val="00C82840"/>
    <w:rsid w:val="00CE613E"/>
    <w:rsid w:val="00CF05CE"/>
    <w:rsid w:val="00D3330C"/>
    <w:rsid w:val="00DA7E7B"/>
    <w:rsid w:val="00DD1B49"/>
    <w:rsid w:val="00E75BB3"/>
    <w:rsid w:val="00EA0151"/>
    <w:rsid w:val="00EE7659"/>
    <w:rsid w:val="00F059F1"/>
    <w:rsid w:val="00F30D85"/>
    <w:rsid w:val="00F87762"/>
    <w:rsid w:val="00FE3BCC"/>
    <w:rsid w:val="00FE4751"/>
    <w:rsid w:val="00FE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A1F9B"/>
  <w15:docId w15:val="{58C54DF8-BD2A-4397-84A8-4E421DAB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E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E7B"/>
  </w:style>
  <w:style w:type="paragraph" w:styleId="Stopka">
    <w:name w:val="footer"/>
    <w:basedOn w:val="Normalny"/>
    <w:link w:val="StopkaZnak"/>
    <w:uiPriority w:val="99"/>
    <w:unhideWhenUsed/>
    <w:rsid w:val="00DA7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E7B"/>
  </w:style>
  <w:style w:type="paragraph" w:styleId="Tekstpodstawowywcity">
    <w:name w:val="Body Text Indent"/>
    <w:basedOn w:val="Normalny"/>
    <w:link w:val="TekstpodstawowywcityZnak"/>
    <w:rsid w:val="00A96109"/>
    <w:pPr>
      <w:suppressAutoHyphens/>
      <w:spacing w:before="120" w:after="120" w:line="360" w:lineRule="auto"/>
      <w:ind w:left="709"/>
      <w:jc w:val="both"/>
    </w:pPr>
    <w:rPr>
      <w:rFonts w:ascii="Garamond" w:eastAsia="Times New Roman" w:hAnsi="Garamond" w:cs="Times New Roman"/>
      <w:sz w:val="26"/>
      <w:szCs w:val="26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96109"/>
    <w:rPr>
      <w:rFonts w:ascii="Garamond" w:eastAsia="Times New Roman" w:hAnsi="Garamond" w:cs="Times New Roman"/>
      <w:sz w:val="26"/>
      <w:szCs w:val="26"/>
      <w:lang w:eastAsia="ar-SA"/>
    </w:rPr>
  </w:style>
  <w:style w:type="paragraph" w:customStyle="1" w:styleId="normal-bez-wciecia">
    <w:name w:val="normal-bez-wciecia"/>
    <w:basedOn w:val="Normalny"/>
    <w:rsid w:val="00A96109"/>
    <w:pPr>
      <w:keepLines/>
      <w:tabs>
        <w:tab w:val="left" w:pos="283"/>
      </w:tabs>
      <w:spacing w:after="0" w:line="240" w:lineRule="exact"/>
      <w:jc w:val="both"/>
    </w:pPr>
    <w:rPr>
      <w:rFonts w:ascii="SlimbachItcTEE" w:eastAsia="Times New Roman" w:hAnsi="SlimbachItcTEE" w:cs="Times New Roman"/>
      <w:noProof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261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261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261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261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E2615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261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7659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E7659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EE7659"/>
    <w:rPr>
      <w:i/>
      <w:iCs/>
      <w:color w:val="404040" w:themeColor="text1" w:themeTint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765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E765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E7659"/>
    <w:rPr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E76C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.tomicka@lightscape.p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olishgamers.com/pgr/polish-gamers-research-2020/characteristics-of-pc-console-mobile-browser-social-platforms-gamers/characteristics-of-mobile-gamers/" TargetMode="External"/><Relationship Id="rId1" Type="http://schemas.openxmlformats.org/officeDocument/2006/relationships/hyperlink" Target="https://polishgamers.com/pgr/polish-gamers-research-2020/characteristics-of-pc-console-mobile-browser-social-platforms-gamers/characteristics-of-mobile-game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7EC67-1325-4C77-AA30-EED1DE1FE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1236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Wąsikowska</dc:creator>
  <cp:lastModifiedBy>Pamela  Tomicka</cp:lastModifiedBy>
  <cp:revision>2</cp:revision>
  <cp:lastPrinted>2021-09-22T12:56:00Z</cp:lastPrinted>
  <dcterms:created xsi:type="dcterms:W3CDTF">2021-10-04T09:36:00Z</dcterms:created>
  <dcterms:modified xsi:type="dcterms:W3CDTF">2021-10-04T09:36:00Z</dcterms:modified>
</cp:coreProperties>
</file>